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5" w:name="idp-limited"/>
    <w:p>
      <w:pPr>
        <w:pStyle w:val="Heading1"/>
      </w:pPr>
      <w:r>
        <w:t xml:space="preserve">IDP LIMITED</w:t>
      </w:r>
    </w:p>
    <w:bookmarkStart w:id="22" w:name="vendor-reconciliation-statement"/>
    <w:p>
      <w:pPr>
        <w:pStyle w:val="Heading2"/>
      </w:pPr>
      <w:r>
        <w:t xml:space="preserve">Vendor Reconciliation Statement</w:t>
      </w:r>
    </w:p>
    <w:bookmarkStart w:id="20" w:name="vendor-abc-supplies-pvt-ltd"/>
    <w:p>
      <w:pPr>
        <w:pStyle w:val="Heading3"/>
      </w:pPr>
      <w:r>
        <w:t xml:space="preserve">Vendor: ABC Supplies Pvt Ltd</w:t>
      </w:r>
    </w:p>
    <w:bookmarkEnd w:id="20"/>
    <w:bookmarkStart w:id="21" w:name="as-at-30-september-2025"/>
    <w:p>
      <w:pPr>
        <w:pStyle w:val="Heading3"/>
      </w:pPr>
      <w:r>
        <w:t xml:space="preserve">As at: 30 September 2025</w:t>
      </w:r>
    </w:p>
    <w:tbl>
      <w:tblPr>
        <w:tblStyle w:val="Table"/>
        <w:tblW w:type="pct" w:w="5000"/>
        <w:tblLayout w:type="fixed"/>
        <w:tblLook w:firstRow="1" w:lastRow="0" w:firstColumn="0" w:lastColumn="0" w:noHBand="0" w:noVBand="0" w:val="0020"/>
      </w:tblPr>
      <w:tblGrid>
        <w:gridCol w:w="3168"/>
        <w:gridCol w:w="1584"/>
        <w:gridCol w:w="3168"/>
      </w:tblGrid>
      <w:tr>
        <w:trPr>
          <w:tblHeader w:val="on"/>
        </w:trPr>
        <w:tc>
          <w:tcPr/>
          <w:p>
            <w:pPr>
              <w:pStyle w:val="Compact"/>
            </w:pPr>
            <w:r>
              <w:t xml:space="preserve">Particulars</w:t>
            </w:r>
          </w:p>
        </w:tc>
        <w:tc>
          <w:tcPr/>
          <w:p>
            <w:pPr>
              <w:pStyle w:val="Compact"/>
            </w:pPr>
            <w:r>
              <w:t xml:space="preserve">Ref.</w:t>
            </w:r>
          </w:p>
        </w:tc>
        <w:tc>
          <w:tcPr/>
          <w:p>
            <w:pPr>
              <w:pStyle w:val="Compact"/>
              <w:jc w:val="right"/>
            </w:pPr>
            <w:r>
              <w:t xml:space="preserve">Amount (₹)</w:t>
            </w:r>
          </w:p>
        </w:tc>
      </w:tr>
      <w:tr>
        <w:tc>
          <w:tcPr/>
          <w:p>
            <w:pPr>
              <w:pStyle w:val="Compact"/>
            </w:pPr>
            <w:r>
              <w:t xml:space="preserve">Balance as per Vendor Statement (Advance Outstanding)</w:t>
            </w:r>
          </w:p>
        </w:tc>
        <w:tc>
          <w:tcPr/>
          <w:p>
            <w:pPr>
              <w:pStyle w:val="Compact"/>
            </w:pPr>
            <w:r>
              <w:t xml:space="preserve">Vendor Confirmation dated 30.09.2025</w:t>
            </w:r>
          </w:p>
        </w:tc>
        <w:tc>
          <w:tcPr/>
          <w:p>
            <w:pPr>
              <w:pStyle w:val="Compact"/>
              <w:jc w:val="right"/>
            </w:pPr>
            <w:r>
              <w:t xml:space="preserve">19,00,000</w:t>
            </w:r>
          </w:p>
        </w:tc>
      </w:tr>
      <w:tr>
        <w:tc>
          <w:tcPr/>
          <w:p>
            <w:pPr>
              <w:pStyle w:val="Compact"/>
            </w:pPr>
            <w:r>
              <w:rPr>
                <w:b/>
                <w:bCs/>
              </w:rPr>
              <w:t xml:space="preserve">Add:</w:t>
            </w:r>
            <w:r>
              <w:t xml:space="preserve"> </w:t>
            </w:r>
            <w:r>
              <w:t xml:space="preserve">Advance paid vide HDFC UTR HDFC250915001 dated 28.09.2025 not yet credited by vendor</w:t>
            </w:r>
          </w:p>
        </w:tc>
        <w:tc>
          <w:tcPr/>
          <w:p>
            <w:pPr>
              <w:pStyle w:val="Compact"/>
            </w:pPr>
            <w:r>
              <w:t xml:space="preserve">Payment in transit</w:t>
            </w:r>
          </w:p>
        </w:tc>
        <w:tc>
          <w:tcPr/>
          <w:p>
            <w:pPr>
              <w:pStyle w:val="Compact"/>
              <w:jc w:val="right"/>
            </w:pPr>
            <w:r>
              <w:t xml:space="preserve">2,50,000</w:t>
            </w:r>
          </w:p>
        </w:tc>
      </w:tr>
      <w:tr>
        <w:tc>
          <w:tcPr/>
          <w:p>
            <w:pPr>
              <w:pStyle w:val="Compact"/>
            </w:pPr>
            <w:r>
              <w:rPr>
                <w:b/>
                <w:bCs/>
              </w:rPr>
              <w:t xml:space="preserve">Add:</w:t>
            </w:r>
            <w:r>
              <w:t xml:space="preserve"> </w:t>
            </w:r>
            <w:r>
              <w:t xml:space="preserve">Goods received under GRN Nos. GRN-2541 to GRN-2545; adjusted by vendor against advance but invoice not yet booked by IDP</w:t>
            </w:r>
          </w:p>
        </w:tc>
        <w:tc>
          <w:tcPr/>
          <w:p>
            <w:pPr>
              <w:pStyle w:val="Compact"/>
            </w:pPr>
            <w:r>
              <w:t xml:space="preserve">GRN Accrual</w:t>
            </w:r>
          </w:p>
        </w:tc>
        <w:tc>
          <w:tcPr/>
          <w:p>
            <w:pPr>
              <w:pStyle w:val="Compact"/>
              <w:jc w:val="right"/>
            </w:pPr>
            <w:r>
              <w:t xml:space="preserve">3,20,000</w:t>
            </w:r>
          </w:p>
        </w:tc>
      </w:tr>
      <w:tr>
        <w:tc>
          <w:tcPr/>
          <w:p>
            <w:pPr>
              <w:pStyle w:val="Compact"/>
            </w:pPr>
            <w:r>
              <w:rPr>
                <w:b/>
                <w:bCs/>
              </w:rPr>
              <w:t xml:space="preserve">Add:</w:t>
            </w:r>
            <w:r>
              <w:t xml:space="preserve"> </w:t>
            </w:r>
            <w:r>
              <w:t xml:space="preserve">Credit Note CN/ABC/2025/118 dated 20.09.2025 issued by vendor for rate difference; pending accounting in IDP books</w:t>
            </w:r>
          </w:p>
        </w:tc>
        <w:tc>
          <w:tcPr/>
          <w:p>
            <w:pPr>
              <w:pStyle w:val="Compact"/>
            </w:pPr>
            <w:r>
              <w:t xml:space="preserve">Credit Note Pending</w:t>
            </w:r>
          </w:p>
        </w:tc>
        <w:tc>
          <w:tcPr/>
          <w:p>
            <w:pPr>
              <w:pStyle w:val="Compact"/>
              <w:jc w:val="right"/>
            </w:pPr>
            <w:r>
              <w:t xml:space="preserve">1,80,000</w:t>
            </w:r>
          </w:p>
        </w:tc>
      </w:tr>
      <w:tr>
        <w:tc>
          <w:tcPr/>
          <w:p>
            <w:pPr>
              <w:pStyle w:val="Compact"/>
            </w:pPr>
            <w:r>
              <w:rPr>
                <w:b/>
                <w:bCs/>
              </w:rPr>
              <w:t xml:space="preserve">Add:</w:t>
            </w:r>
            <w:r>
              <w:t xml:space="preserve"> </w:t>
            </w:r>
            <w:r>
              <w:t xml:space="preserve">TDS deducted u/s 194Q on advance/payment and deposited by IDP; not reduced by vendor in statement</w:t>
            </w:r>
          </w:p>
        </w:tc>
        <w:tc>
          <w:tcPr/>
          <w:p>
            <w:pPr>
              <w:pStyle w:val="Compact"/>
            </w:pPr>
            <w:r>
              <w:t xml:space="preserve">TDS Difference</w:t>
            </w:r>
          </w:p>
        </w:tc>
        <w:tc>
          <w:tcPr/>
          <w:p>
            <w:pPr>
              <w:pStyle w:val="Compact"/>
              <w:jc w:val="right"/>
            </w:pPr>
            <w:r>
              <w:t xml:space="preserve">90,000</w:t>
            </w:r>
          </w:p>
        </w:tc>
      </w:tr>
      <w:tr>
        <w:tc>
          <w:tcPr/>
          <w:p>
            <w:pPr>
              <w:pStyle w:val="Compact"/>
            </w:pPr>
            <w:r>
              <w:rPr>
                <w:b/>
                <w:bCs/>
              </w:rPr>
              <w:t xml:space="preserve">Add:</w:t>
            </w:r>
            <w:r>
              <w:t xml:space="preserve"> </w:t>
            </w:r>
            <w:r>
              <w:t xml:space="preserve">Invoice INV-4587 dated 12.09.2025 disputed due to quality issue and kept on hold by IDP</w:t>
            </w:r>
          </w:p>
        </w:tc>
        <w:tc>
          <w:tcPr/>
          <w:p>
            <w:pPr>
              <w:pStyle w:val="Compact"/>
            </w:pPr>
            <w:r>
              <w:t xml:space="preserve">Disputed Transaction</w:t>
            </w:r>
          </w:p>
        </w:tc>
        <w:tc>
          <w:tcPr/>
          <w:p>
            <w:pPr>
              <w:pStyle w:val="Compact"/>
              <w:jc w:val="right"/>
            </w:pPr>
            <w:r>
              <w:t xml:space="preserve">60,000</w:t>
            </w:r>
          </w:p>
        </w:tc>
      </w:tr>
      <w:tr>
        <w:tc>
          <w:tcPr/>
          <w:p>
            <w:pPr>
              <w:pStyle w:val="Compact"/>
            </w:pPr>
            <w:r>
              <w:rPr>
                <w:b/>
                <w:bCs/>
              </w:rPr>
              <w:t xml:space="preserve">Balance as per IDP Ledger</w:t>
            </w:r>
          </w:p>
        </w:tc>
        <w:tc>
          <w:tcPr/>
          <w:p>
            <w:pPr>
              <w:pStyle w:val="Compact"/>
            </w:pPr>
            <w:r>
              <w:t xml:space="preserve">Ledger Balance</w:t>
            </w:r>
          </w:p>
        </w:tc>
        <w:tc>
          <w:tcPr/>
          <w:p>
            <w:pPr>
              <w:pStyle w:val="Compact"/>
              <w:jc w:val="right"/>
            </w:pPr>
            <w:r>
              <w:rPr>
                <w:b/>
                <w:bCs/>
              </w:rPr>
              <w:t xml:space="preserve">28,00,000</w:t>
            </w:r>
          </w:p>
        </w:tc>
      </w:tr>
    </w:tbl>
    <w:p>
      <w:r>
        <w:pict>
          <v:rect style="width:0;height:1.5pt" o:hralign="center" o:hrstd="t" o:hr="t"/>
        </w:pict>
      </w:r>
    </w:p>
    <w:bookmarkEnd w:id="21"/>
    <w:bookmarkEnd w:id="22"/>
    <w:bookmarkStart w:id="23" w:name="supporting-schedule-of-reconciling-items"/>
    <w:p>
      <w:pPr>
        <w:pStyle w:val="Heading2"/>
      </w:pPr>
      <w:r>
        <w:t xml:space="preserve">Supporting Schedule of Reconciling Items</w:t>
      </w:r>
    </w:p>
    <w:tbl>
      <w:tblPr>
        <w:tblStyle w:val="Table"/>
        <w:tblW w:type="pct" w:w="5000"/>
        <w:tblLayout w:type="fixed"/>
        <w:tblLook w:firstRow="1" w:lastRow="0" w:firstColumn="0" w:lastColumn="0" w:noHBand="0" w:noVBand="0" w:val="0020"/>
      </w:tblPr>
      <w:tblGrid>
        <w:gridCol w:w="1149"/>
        <w:gridCol w:w="1660"/>
        <w:gridCol w:w="2427"/>
        <w:gridCol w:w="1532"/>
        <w:gridCol w:w="1149"/>
      </w:tblGrid>
      <w:tr>
        <w:trPr>
          <w:tblHeader w:val="on"/>
        </w:trPr>
        <w:tc>
          <w:tcPr/>
          <w:p>
            <w:pPr>
              <w:pStyle w:val="Compact"/>
            </w:pPr>
            <w:r>
              <w:t xml:space="preserve">Sl. No.</w:t>
            </w:r>
          </w:p>
        </w:tc>
        <w:tc>
          <w:tcPr/>
          <w:p>
            <w:pPr>
              <w:pStyle w:val="Compact"/>
            </w:pPr>
            <w:r>
              <w:t xml:space="preserve">Particulars</w:t>
            </w:r>
          </w:p>
        </w:tc>
        <w:tc>
          <w:tcPr/>
          <w:p>
            <w:pPr>
              <w:pStyle w:val="Compact"/>
            </w:pPr>
            <w:r>
              <w:t xml:space="preserve">Document Reference</w:t>
            </w:r>
          </w:p>
        </w:tc>
        <w:tc>
          <w:tcPr/>
          <w:p>
            <w:pPr>
              <w:pStyle w:val="Compact"/>
              <w:jc w:val="right"/>
            </w:pPr>
            <w:r>
              <w:t xml:space="preserve">Amount (₹)</w:t>
            </w:r>
          </w:p>
        </w:tc>
        <w:tc>
          <w:tcPr/>
          <w:p>
            <w:pPr>
              <w:pStyle w:val="Compact"/>
            </w:pPr>
            <w:r>
              <w:t xml:space="preserve">Status</w:t>
            </w:r>
          </w:p>
        </w:tc>
      </w:tr>
      <w:tr>
        <w:tc>
          <w:tcPr/>
          <w:p>
            <w:pPr>
              <w:pStyle w:val="Compact"/>
            </w:pPr>
            <w:r>
              <w:t xml:space="preserve">1</w:t>
            </w:r>
          </w:p>
        </w:tc>
        <w:tc>
          <w:tcPr/>
          <w:p>
            <w:pPr>
              <w:pStyle w:val="Compact"/>
            </w:pPr>
            <w:r>
              <w:t xml:space="preserve">Advance payment not reflected by vendor</w:t>
            </w:r>
          </w:p>
        </w:tc>
        <w:tc>
          <w:tcPr/>
          <w:p>
            <w:pPr>
              <w:pStyle w:val="Compact"/>
            </w:pPr>
            <w:r>
              <w:t xml:space="preserve">HDFC UTR HDFC250915001</w:t>
            </w:r>
          </w:p>
        </w:tc>
        <w:tc>
          <w:tcPr/>
          <w:p>
            <w:pPr>
              <w:pStyle w:val="Compact"/>
              <w:jc w:val="right"/>
            </w:pPr>
            <w:r>
              <w:t xml:space="preserve">2,50,000</w:t>
            </w:r>
          </w:p>
        </w:tc>
        <w:tc>
          <w:tcPr/>
          <w:p>
            <w:pPr>
              <w:pStyle w:val="Compact"/>
            </w:pPr>
            <w:r>
              <w:t xml:space="preserve">Vendor confirmation awaited</w:t>
            </w:r>
          </w:p>
        </w:tc>
      </w:tr>
      <w:tr>
        <w:tc>
          <w:tcPr/>
          <w:p>
            <w:pPr>
              <w:pStyle w:val="Compact"/>
            </w:pPr>
            <w:r>
              <w:t xml:space="preserve">2</w:t>
            </w:r>
          </w:p>
        </w:tc>
        <w:tc>
          <w:tcPr/>
          <w:p>
            <w:pPr>
              <w:pStyle w:val="Compact"/>
            </w:pPr>
            <w:r>
              <w:t xml:space="preserve">Material received and adjusted by vendor; invoice pending</w:t>
            </w:r>
          </w:p>
        </w:tc>
        <w:tc>
          <w:tcPr/>
          <w:p>
            <w:pPr>
              <w:pStyle w:val="Compact"/>
            </w:pPr>
            <w:r>
              <w:t xml:space="preserve">GRN-2541 to GRN-2545</w:t>
            </w:r>
          </w:p>
        </w:tc>
        <w:tc>
          <w:tcPr/>
          <w:p>
            <w:pPr>
              <w:pStyle w:val="Compact"/>
              <w:jc w:val="right"/>
            </w:pPr>
            <w:r>
              <w:t xml:space="preserve">3,20,000</w:t>
            </w:r>
          </w:p>
        </w:tc>
        <w:tc>
          <w:tcPr/>
          <w:p>
            <w:pPr>
              <w:pStyle w:val="Compact"/>
            </w:pPr>
            <w:r>
              <w:t xml:space="preserve">Accrual to be passed</w:t>
            </w:r>
          </w:p>
        </w:tc>
      </w:tr>
      <w:tr>
        <w:tc>
          <w:tcPr/>
          <w:p>
            <w:pPr>
              <w:pStyle w:val="Compact"/>
            </w:pPr>
            <w:r>
              <w:t xml:space="preserve">3</w:t>
            </w:r>
          </w:p>
        </w:tc>
        <w:tc>
          <w:tcPr/>
          <w:p>
            <w:pPr>
              <w:pStyle w:val="Compact"/>
            </w:pPr>
            <w:r>
              <w:t xml:space="preserve">Credit note not recorded in IDP books</w:t>
            </w:r>
          </w:p>
        </w:tc>
        <w:tc>
          <w:tcPr/>
          <w:p>
            <w:pPr>
              <w:pStyle w:val="Compact"/>
            </w:pPr>
            <w:r>
              <w:t xml:space="preserve">CN/ABC/2025/118</w:t>
            </w:r>
          </w:p>
        </w:tc>
        <w:tc>
          <w:tcPr/>
          <w:p>
            <w:pPr>
              <w:pStyle w:val="Compact"/>
              <w:jc w:val="right"/>
            </w:pPr>
            <w:r>
              <w:t xml:space="preserve">1,80,000</w:t>
            </w:r>
          </w:p>
        </w:tc>
        <w:tc>
          <w:tcPr/>
          <w:p>
            <w:pPr>
              <w:pStyle w:val="Compact"/>
            </w:pPr>
            <w:r>
              <w:t xml:space="preserve">To be booked</w:t>
            </w:r>
          </w:p>
        </w:tc>
      </w:tr>
      <w:tr>
        <w:tc>
          <w:tcPr/>
          <w:p>
            <w:pPr>
              <w:pStyle w:val="Compact"/>
            </w:pPr>
            <w:r>
              <w:t xml:space="preserve">4</w:t>
            </w:r>
          </w:p>
        </w:tc>
        <w:tc>
          <w:tcPr/>
          <w:p>
            <w:pPr>
              <w:pStyle w:val="Compact"/>
            </w:pPr>
            <w:r>
              <w:t xml:space="preserve">TDS deducted and deposited by IDP</w:t>
            </w:r>
          </w:p>
        </w:tc>
        <w:tc>
          <w:tcPr/>
          <w:p>
            <w:pPr>
              <w:pStyle w:val="Compact"/>
            </w:pPr>
            <w:r>
              <w:t xml:space="preserve">Challan ITNS 281 / Q2 FY 2025-26</w:t>
            </w:r>
          </w:p>
        </w:tc>
        <w:tc>
          <w:tcPr/>
          <w:p>
            <w:pPr>
              <w:pStyle w:val="Compact"/>
              <w:jc w:val="right"/>
            </w:pPr>
            <w:r>
              <w:t xml:space="preserve">90,000</w:t>
            </w:r>
          </w:p>
        </w:tc>
        <w:tc>
          <w:tcPr/>
          <w:p>
            <w:pPr>
              <w:pStyle w:val="Compact"/>
            </w:pPr>
            <w:r>
              <w:t xml:space="preserve">Vendor reconciliation required</w:t>
            </w:r>
          </w:p>
        </w:tc>
      </w:tr>
      <w:tr>
        <w:tc>
          <w:tcPr/>
          <w:p>
            <w:pPr>
              <w:pStyle w:val="Compact"/>
            </w:pPr>
            <w:r>
              <w:t xml:space="preserve">5</w:t>
            </w:r>
          </w:p>
        </w:tc>
        <w:tc>
          <w:tcPr/>
          <w:p>
            <w:pPr>
              <w:pStyle w:val="Compact"/>
            </w:pPr>
            <w:r>
              <w:t xml:space="preserve">Invoice under dispute</w:t>
            </w:r>
          </w:p>
        </w:tc>
        <w:tc>
          <w:tcPr/>
          <w:p>
            <w:pPr>
              <w:pStyle w:val="Compact"/>
            </w:pPr>
            <w:r>
              <w:t xml:space="preserve">INV-4587</w:t>
            </w:r>
          </w:p>
        </w:tc>
        <w:tc>
          <w:tcPr/>
          <w:p>
            <w:pPr>
              <w:pStyle w:val="Compact"/>
              <w:jc w:val="right"/>
            </w:pPr>
            <w:r>
              <w:t xml:space="preserve">60,000</w:t>
            </w:r>
          </w:p>
        </w:tc>
        <w:tc>
          <w:tcPr/>
          <w:p>
            <w:pPr>
              <w:pStyle w:val="Compact"/>
            </w:pPr>
            <w:r>
              <w:t xml:space="preserve">Procurement review pending</w:t>
            </w:r>
          </w:p>
        </w:tc>
      </w:tr>
      <w:tr>
        <w:tc>
          <w:tcPr/>
          <w:p>
            <w:pPr>
              <w:pStyle w:val="Compact"/>
            </w:pPr>
          </w:p>
        </w:tc>
        <w:tc>
          <w:tcPr/>
          <w:p>
            <w:pPr>
              <w:pStyle w:val="Compact"/>
            </w:pPr>
            <w:r>
              <w:rPr>
                <w:b/>
                <w:bCs/>
              </w:rPr>
              <w:t xml:space="preserve">Total Reconciling Items</w:t>
            </w:r>
          </w:p>
        </w:tc>
        <w:tc>
          <w:tcPr/>
          <w:p>
            <w:pPr>
              <w:pStyle w:val="Compact"/>
            </w:pPr>
          </w:p>
        </w:tc>
        <w:tc>
          <w:tcPr/>
          <w:p>
            <w:pPr>
              <w:pStyle w:val="Compact"/>
              <w:jc w:val="right"/>
            </w:pPr>
            <w:r>
              <w:rPr>
                <w:b/>
                <w:bCs/>
              </w:rPr>
              <w:t xml:space="preserve">9,00,000</w:t>
            </w:r>
          </w:p>
        </w:tc>
        <w:tc>
          <w:tcPr/>
          <w:p>
            <w:pPr>
              <w:pStyle w:val="Compact"/>
            </w:pPr>
          </w:p>
        </w:tc>
      </w:tr>
    </w:tbl>
    <w:p>
      <w:r>
        <w:pict>
          <v:rect style="width:0;height:1.5pt" o:hralign="center" o:hrstd="t" o:hr="t"/>
        </w:pict>
      </w:r>
    </w:p>
    <w:bookmarkEnd w:id="23"/>
    <w:bookmarkStart w:id="24" w:name="reconciliation-conclusion"/>
    <w:p>
      <w:pPr>
        <w:pStyle w:val="Heading2"/>
      </w:pPr>
      <w:r>
        <w:t xml:space="preserve">Reconciliation Conclusion</w:t>
      </w:r>
    </w:p>
    <w:p>
      <w:pPr>
        <w:pStyle w:val="FirstParagraph"/>
      </w:pPr>
      <w:r>
        <w:t xml:space="preserve">Based on the reconciliation performed as at 30 September 2025, the difference of ₹9,00,000 between the balance reflected in the books of IDP Limited and the balance confirmed by ABC Supplies Pvt Ltd is attributable to timing differences, pending accounting entries, TDS adjustments, and disputed transactions. Subject to resolution of the above items, the balances are expected to reconcile fully.</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Prepared By</w:t>
            </w:r>
          </w:p>
        </w:tc>
        <w:tc>
          <w:tcPr/>
          <w:p>
            <w:pPr>
              <w:pStyle w:val="Compact"/>
            </w:pPr>
            <w:r>
              <w:t xml:space="preserve">Reviewed By</w:t>
            </w:r>
          </w:p>
        </w:tc>
        <w:tc>
          <w:tcPr/>
          <w:p>
            <w:pPr>
              <w:pStyle w:val="Compact"/>
            </w:pPr>
            <w:r>
              <w:t xml:space="preserve">Confirmed By Vendor</w:t>
            </w:r>
          </w:p>
        </w:tc>
      </w:tr>
      <w:tr>
        <w:tc>
          <w:tcPr/>
          <w:p>
            <w:pPr>
              <w:pStyle w:val="Compact"/>
            </w:pPr>
            <w:r>
              <w:t xml:space="preserve">Accounts Executive</w:t>
            </w:r>
          </w:p>
        </w:tc>
        <w:tc>
          <w:tcPr/>
          <w:p>
            <w:pPr>
              <w:pStyle w:val="Compact"/>
            </w:pPr>
            <w:r>
              <w:t xml:space="preserve">Accounts Manager</w:t>
            </w:r>
          </w:p>
        </w:tc>
        <w:tc>
          <w:tcPr/>
          <w:p>
            <w:pPr>
              <w:pStyle w:val="Compact"/>
            </w:pPr>
            <w:r>
              <w:t xml:space="preserve">Authorized Signatory</w:t>
            </w:r>
          </w:p>
        </w:tc>
      </w:tr>
      <w:tr>
        <w:tc>
          <w:tcPr/>
          <w:p>
            <w:pPr>
              <w:pStyle w:val="Compact"/>
            </w:pPr>
            <w:r>
              <w:t xml:space="preserve">Date: ____</w:t>
            </w:r>
          </w:p>
        </w:tc>
        <w:tc>
          <w:tcPr/>
          <w:p>
            <w:pPr>
              <w:pStyle w:val="Compact"/>
            </w:pPr>
            <w:r>
              <w:t xml:space="preserve">Date: ____</w:t>
            </w:r>
          </w:p>
        </w:tc>
        <w:tc>
          <w:tcPr/>
          <w:p>
            <w:pPr>
              <w:pStyle w:val="Compact"/>
            </w:pPr>
            <w:r>
              <w:t xml:space="preserve">Date: ____</w:t>
            </w:r>
          </w:p>
        </w:tc>
      </w:tr>
    </w:tbl>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2026-06-23T07:31:55Z</dcterms:created>
  <dcterms:modified xsi:type="dcterms:W3CDTF">2026-06-23T07:31:55Z</dcterms:modified>
</cp:coreProperties>
</file>

<file path=docProps/custom.xml><?xml version="1.0" encoding="utf-8"?>
<Properties xmlns="http://schemas.openxmlformats.org/officeDocument/2006/custom-properties" xmlns:vt="http://schemas.openxmlformats.org/officeDocument/2006/docPropsVTypes"/>
</file>